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rPr>
          <w:rFonts w:hint="eastAsia" w:ascii="黑体" w:hAnsi="黑体" w:eastAsia="黑体" w:cs="黑体"/>
          <w:bCs/>
          <w:sz w:val="28"/>
          <w:lang w:eastAsia="zh-CN"/>
        </w:rPr>
      </w:pPr>
      <w:r>
        <w:rPr>
          <w:rFonts w:hint="eastAsia" w:ascii="黑体" w:hAnsi="黑体" w:eastAsia="黑体" w:cs="黑体"/>
          <w:bCs/>
          <w:sz w:val="28"/>
          <w:lang w:eastAsia="zh-CN"/>
        </w:rPr>
        <w:t>附件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asciiTheme="majorEastAsia" w:hAnsiTheme="majorEastAsia" w:eastAsiaTheme="majorEastAsia"/>
          <w:b/>
          <w:color w:val="auto"/>
          <w:sz w:val="28"/>
          <w:highlight w:val="none"/>
        </w:rPr>
      </w:pPr>
      <w:r>
        <w:rPr>
          <w:rFonts w:hint="eastAsia" w:asciiTheme="majorEastAsia" w:hAnsiTheme="majorEastAsia" w:eastAsiaTheme="majorEastAsia"/>
          <w:b/>
          <w:color w:val="auto"/>
          <w:sz w:val="28"/>
        </w:rPr>
        <w:t>中外合作办学机构信息</w:t>
      </w:r>
      <w:r>
        <w:rPr>
          <w:rFonts w:hint="eastAsia" w:asciiTheme="majorEastAsia" w:hAnsiTheme="majorEastAsia" w:eastAsiaTheme="majorEastAsia"/>
          <w:b/>
          <w:color w:val="auto"/>
          <w:sz w:val="28"/>
          <w:highlight w:val="none"/>
        </w:rPr>
        <w:t>表（19</w:t>
      </w:r>
      <w:r>
        <w:rPr>
          <w:rFonts w:hint="eastAsia" w:asciiTheme="majorEastAsia" w:hAnsiTheme="majorEastAsia" w:eastAsiaTheme="majorEastAsia"/>
          <w:b/>
          <w:color w:val="auto"/>
          <w:sz w:val="28"/>
          <w:highlight w:val="none"/>
          <w:lang w:val="en-US" w:eastAsia="zh-CN"/>
        </w:rPr>
        <w:t>77</w:t>
      </w:r>
      <w:r>
        <w:rPr>
          <w:rFonts w:hint="eastAsia" w:asciiTheme="majorEastAsia" w:hAnsiTheme="majorEastAsia" w:eastAsiaTheme="majorEastAsia"/>
          <w:b/>
          <w:color w:val="auto"/>
          <w:sz w:val="28"/>
          <w:highlight w:val="none"/>
        </w:rPr>
        <w:t>N）</w:t>
      </w:r>
    </w:p>
    <w:tbl>
      <w:tblPr>
        <w:tblStyle w:val="6"/>
        <w:tblW w:w="1498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6172"/>
        <w:gridCol w:w="2687"/>
        <w:gridCol w:w="41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10" w:lineRule="atLeast"/>
              <w:jc w:val="center"/>
              <w:textAlignment w:val="auto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机构名称</w:t>
            </w:r>
          </w:p>
        </w:tc>
        <w:tc>
          <w:tcPr>
            <w:tcW w:w="6172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10" w:lineRule="atLeast"/>
              <w:textAlignment w:val="auto"/>
              <w:rPr>
                <w:rFonts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东北林业大学奥林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学院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10" w:lineRule="atLeast"/>
              <w:textAlignment w:val="auto"/>
              <w:rPr>
                <w:rFonts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（英文：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Aulin College, Northeast Forestry University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）</w:t>
            </w:r>
          </w:p>
        </w:tc>
        <w:tc>
          <w:tcPr>
            <w:tcW w:w="26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10" w:lineRule="atLeast"/>
              <w:jc w:val="center"/>
              <w:textAlignment w:val="auto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机构属性</w:t>
            </w:r>
          </w:p>
        </w:tc>
        <w:tc>
          <w:tcPr>
            <w:tcW w:w="41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10" w:lineRule="atLeast"/>
              <w:jc w:val="center"/>
              <w:textAlignment w:val="auto"/>
              <w:rPr>
                <w:rFonts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不具有法人资格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10" w:lineRule="atLeast"/>
              <w:jc w:val="center"/>
              <w:textAlignment w:val="auto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机构住所</w:t>
            </w:r>
          </w:p>
        </w:tc>
        <w:tc>
          <w:tcPr>
            <w:tcW w:w="6172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10" w:lineRule="atLeast"/>
              <w:textAlignment w:val="auto"/>
              <w:rPr>
                <w:rFonts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黑龙江省哈尔滨市香坊区和兴路26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号</w:t>
            </w:r>
          </w:p>
        </w:tc>
        <w:tc>
          <w:tcPr>
            <w:tcW w:w="26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10" w:lineRule="atLeast"/>
              <w:jc w:val="center"/>
              <w:textAlignment w:val="auto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法定代表人</w:t>
            </w:r>
          </w:p>
        </w:tc>
        <w:tc>
          <w:tcPr>
            <w:tcW w:w="41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10" w:lineRule="atLeast"/>
              <w:jc w:val="center"/>
              <w:textAlignment w:val="auto"/>
              <w:rPr>
                <w:rFonts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李 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5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10" w:lineRule="atLeast"/>
              <w:jc w:val="center"/>
              <w:textAlignment w:val="auto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中外合作办学者</w:t>
            </w:r>
          </w:p>
        </w:tc>
        <w:tc>
          <w:tcPr>
            <w:tcW w:w="6172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10" w:lineRule="atLeast"/>
              <w:jc w:val="both"/>
              <w:textAlignment w:val="auto"/>
              <w:rPr>
                <w:rFonts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中方：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东北林业大学</w:t>
            </w:r>
          </w:p>
        </w:tc>
        <w:tc>
          <w:tcPr>
            <w:tcW w:w="26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10" w:lineRule="atLeast"/>
              <w:jc w:val="center"/>
              <w:textAlignment w:val="auto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校长或主要行政负责人</w:t>
            </w:r>
          </w:p>
        </w:tc>
        <w:tc>
          <w:tcPr>
            <w:tcW w:w="41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10" w:lineRule="atLeast"/>
              <w:jc w:val="center"/>
              <w:textAlignment w:val="auto"/>
              <w:rPr>
                <w:rFonts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刘志明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51" w:type="dxa"/>
            <w:vMerge w:val="continue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10" w:lineRule="atLeast"/>
              <w:jc w:val="center"/>
              <w:textAlignment w:val="auto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</w:p>
        </w:tc>
        <w:tc>
          <w:tcPr>
            <w:tcW w:w="6172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10" w:lineRule="atLeast"/>
              <w:jc w:val="both"/>
              <w:textAlignment w:val="auto"/>
              <w:rPr>
                <w:rFonts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外方：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</w:rPr>
              <w:t>University of Auckland, New Zealand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10" w:lineRule="atLeast"/>
              <w:jc w:val="both"/>
              <w:textAlignment w:val="auto"/>
              <w:rPr>
                <w:rFonts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（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新西兰奥克兰大学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）</w:t>
            </w:r>
          </w:p>
        </w:tc>
        <w:tc>
          <w:tcPr>
            <w:tcW w:w="26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10" w:lineRule="atLeast"/>
              <w:jc w:val="center"/>
              <w:textAlignment w:val="auto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合作办学者是否要求取得合理回报</w:t>
            </w:r>
          </w:p>
        </w:tc>
        <w:tc>
          <w:tcPr>
            <w:tcW w:w="41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10" w:lineRule="atLeast"/>
              <w:jc w:val="center"/>
              <w:textAlignment w:val="auto"/>
              <w:rPr>
                <w:rFonts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10" w:lineRule="atLeast"/>
              <w:jc w:val="center"/>
              <w:textAlignment w:val="auto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办学层次和类别</w:t>
            </w:r>
          </w:p>
        </w:tc>
        <w:tc>
          <w:tcPr>
            <w:tcW w:w="61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10" w:lineRule="atLeast"/>
              <w:jc w:val="both"/>
              <w:textAlignment w:val="auto"/>
              <w:rPr>
                <w:rFonts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本科学历教育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；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硕士研究生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学历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教育；外国硕士学位教育</w:t>
            </w:r>
          </w:p>
        </w:tc>
        <w:tc>
          <w:tcPr>
            <w:tcW w:w="26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10" w:lineRule="atLeast"/>
              <w:jc w:val="center"/>
              <w:textAlignment w:val="auto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  <w:t>学制</w:t>
            </w:r>
          </w:p>
        </w:tc>
        <w:tc>
          <w:tcPr>
            <w:tcW w:w="41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10" w:lineRule="atLeast"/>
              <w:jc w:val="center"/>
              <w:textAlignment w:val="auto"/>
              <w:rPr>
                <w:rFonts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</w:rPr>
              <w:t>本科生4年，硕士研究生3年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10" w:lineRule="atLeast"/>
              <w:jc w:val="center"/>
              <w:textAlignment w:val="auto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办学规模</w:t>
            </w:r>
          </w:p>
        </w:tc>
        <w:tc>
          <w:tcPr>
            <w:tcW w:w="6172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10" w:lineRule="atLeast"/>
              <w:textAlignment w:val="auto"/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办学总规模为</w:t>
            </w:r>
            <w:r>
              <w:rPr>
                <w:rFonts w:ascii="Times New Roman" w:hAnsi="Times New Roman" w:cs="Times New Roman" w:eastAsiaTheme="minorEastAsia"/>
                <w:color w:val="auto"/>
                <w:szCs w:val="24"/>
              </w:rPr>
              <w:t>1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</w:rPr>
              <w:t>200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人（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计划内每年招收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val="en-US" w:eastAsia="zh-CN"/>
              </w:rPr>
              <w:t>295人，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本科计划由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东北林业大学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通过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招生计划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增量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安排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；研究生自主招生每年招收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val="en-US" w:eastAsia="zh-CN"/>
              </w:rPr>
              <w:t>10人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）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10" w:lineRule="atLeast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Cs w:val="24"/>
                <w:lang w:eastAsia="zh-CN"/>
              </w:rPr>
            </w:pP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本科生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每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年招收</w:t>
            </w:r>
            <w:r>
              <w:rPr>
                <w:rFonts w:ascii="Times New Roman" w:hAnsi="Times New Roman" w:cs="Times New Roman" w:eastAsiaTheme="minorEastAsia"/>
                <w:color w:val="auto"/>
                <w:szCs w:val="24"/>
              </w:rPr>
              <w:t>2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</w:rPr>
              <w:t>85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人（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计算机科学与技术</w:t>
            </w:r>
            <w:r>
              <w:rPr>
                <w:rFonts w:ascii="Times New Roman" w:hAnsi="Times New Roman" w:cs="Times New Roman" w:eastAsiaTheme="minorEastAsia"/>
                <w:color w:val="auto"/>
                <w:szCs w:val="24"/>
              </w:rPr>
              <w:t>100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人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，生物技术95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人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，化学90人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）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；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硕士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研究生每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年招收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2</w:t>
            </w:r>
            <w:r>
              <w:rPr>
                <w:rFonts w:ascii="Times New Roman" w:hAnsi="Times New Roman" w:cs="Times New Roman" w:eastAsiaTheme="minorEastAsia"/>
                <w:color w:val="auto"/>
                <w:szCs w:val="24"/>
              </w:rPr>
              <w:t>0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人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（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计划内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val="en-US" w:eastAsia="zh-CN"/>
              </w:rPr>
              <w:t>10人，自主招生10人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）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。</w:t>
            </w:r>
          </w:p>
        </w:tc>
        <w:tc>
          <w:tcPr>
            <w:tcW w:w="26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10" w:lineRule="atLeast"/>
              <w:jc w:val="center"/>
              <w:textAlignment w:val="auto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招生起止年份</w:t>
            </w:r>
          </w:p>
        </w:tc>
        <w:tc>
          <w:tcPr>
            <w:tcW w:w="41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10" w:lineRule="atLeast"/>
              <w:jc w:val="center"/>
              <w:textAlignment w:val="auto"/>
              <w:rPr>
                <w:rFonts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本科生</w:t>
            </w:r>
            <w:r>
              <w:rPr>
                <w:rFonts w:ascii="Times New Roman" w:hAnsi="Times New Roman" w:cs="Times New Roman" w:eastAsiaTheme="minorEastAsia"/>
                <w:color w:val="auto"/>
                <w:szCs w:val="24"/>
              </w:rPr>
              <w:t>201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</w:rPr>
              <w:t>9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  <w:lang w:eastAsia="zh-CN"/>
              </w:rPr>
              <w:t>—</w:t>
            </w:r>
            <w:r>
              <w:rPr>
                <w:rFonts w:ascii="Times New Roman" w:hAnsi="Times New Roman" w:cs="Times New Roman" w:eastAsiaTheme="minorEastAsia"/>
                <w:color w:val="auto"/>
                <w:szCs w:val="24"/>
              </w:rPr>
              <w:t>20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</w:rPr>
              <w:t>24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年（每年</w:t>
            </w:r>
            <w:r>
              <w:rPr>
                <w:rFonts w:ascii="Times New Roman" w:hAnsi="Times New Roman" w:cs="Times New Roman" w:eastAsiaTheme="minorEastAsia"/>
                <w:color w:val="auto"/>
                <w:szCs w:val="24"/>
              </w:rPr>
              <w:t>1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期）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10" w:lineRule="atLeast"/>
              <w:jc w:val="center"/>
              <w:textAlignment w:val="auto"/>
              <w:rPr>
                <w:rFonts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硕士研究生</w:t>
            </w:r>
            <w:r>
              <w:rPr>
                <w:rFonts w:ascii="Times New Roman" w:hAnsi="Times New Roman" w:cs="Times New Roman" w:eastAsiaTheme="minorEastAsia"/>
                <w:color w:val="auto"/>
                <w:szCs w:val="24"/>
              </w:rPr>
              <w:t>201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</w:rPr>
              <w:t>9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  <w:lang w:eastAsia="zh-CN"/>
              </w:rPr>
              <w:t>—</w:t>
            </w:r>
            <w:r>
              <w:rPr>
                <w:rFonts w:ascii="Times New Roman" w:hAnsi="Times New Roman" w:cs="Times New Roman" w:eastAsiaTheme="minorEastAsia"/>
                <w:color w:val="auto"/>
                <w:szCs w:val="24"/>
              </w:rPr>
              <w:t>20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</w:rPr>
              <w:t>2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  <w:lang w:val="en-US" w:eastAsia="zh-CN"/>
              </w:rPr>
              <w:t>5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年（每年</w:t>
            </w:r>
            <w:r>
              <w:rPr>
                <w:rFonts w:ascii="Times New Roman" w:hAnsi="Times New Roman" w:cs="Times New Roman" w:eastAsiaTheme="minorEastAsia"/>
                <w:color w:val="auto"/>
                <w:szCs w:val="24"/>
              </w:rPr>
              <w:t>1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期）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10" w:lineRule="atLeast"/>
              <w:jc w:val="center"/>
              <w:textAlignment w:val="auto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招生方式</w:t>
            </w:r>
          </w:p>
        </w:tc>
        <w:tc>
          <w:tcPr>
            <w:tcW w:w="1303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10" w:lineRule="atLeast"/>
              <w:jc w:val="both"/>
              <w:textAlignment w:val="auto"/>
              <w:rPr>
                <w:rFonts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本科生：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纳入国家普通高等学校招生计划，并按照国家普通高校招生录取政策规定执行。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10" w:lineRule="atLeast"/>
              <w:jc w:val="both"/>
              <w:textAlignment w:val="auto"/>
              <w:rPr>
                <w:rFonts w:ascii="Times New Roman" w:cs="Times New Roman" w:hAnsiTheme="minorEastAsia" w:eastAsiaTheme="minorEastAsia"/>
                <w:color w:val="auto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硕士研究生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教育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：纳入全国硕士研究生招生计划，参加全国硕士研究生统一入学考试，并按照国家硕士研究生招生录取政策进行录取。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10" w:lineRule="atLeast"/>
              <w:textAlignment w:val="auto"/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外国硕士学位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教育：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自主招生（招生标准不低于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奥克兰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大学同类专业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在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新西兰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的标准）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10" w:lineRule="atLeast"/>
              <w:jc w:val="center"/>
              <w:textAlignment w:val="auto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开设专业或课程</w:t>
            </w:r>
          </w:p>
        </w:tc>
        <w:tc>
          <w:tcPr>
            <w:tcW w:w="1303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10" w:lineRule="atLeast"/>
              <w:jc w:val="both"/>
              <w:textAlignment w:val="auto"/>
              <w:rPr>
                <w:rFonts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本科：计算机科学与技术（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080901H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）、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生物技术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（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071002H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）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、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 w:val="21"/>
                <w:szCs w:val="24"/>
              </w:rPr>
              <w:t>化学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（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070301H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10" w:lineRule="atLeast"/>
              <w:jc w:val="both"/>
              <w:textAlignment w:val="auto"/>
              <w:rPr>
                <w:rFonts w:ascii="Times New Roman" w:cs="Times New Roman" w:hAnsiTheme="minorEastAsia" w:eastAsiaTheme="minorEastAsia"/>
                <w:color w:val="auto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硕士：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生态学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5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10" w:lineRule="atLeast"/>
              <w:jc w:val="center"/>
              <w:textAlignment w:val="auto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颁发证书</w:t>
            </w:r>
          </w:p>
        </w:tc>
        <w:tc>
          <w:tcPr>
            <w:tcW w:w="1303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10" w:lineRule="atLeast"/>
              <w:jc w:val="both"/>
              <w:textAlignment w:val="auto"/>
              <w:rPr>
                <w:rFonts w:ascii="Times New Roman" w:cs="Times New Roman" w:hAnsiTheme="minorEastAsia" w:eastAsiaTheme="minorEastAsia"/>
                <w:color w:val="auto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中方：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10" w:lineRule="atLeast"/>
              <w:jc w:val="both"/>
              <w:textAlignment w:val="auto"/>
              <w:rPr>
                <w:rFonts w:ascii="Times New Roman" w:cs="Times New Roman" w:hAnsiTheme="minorEastAsia" w:eastAsiaTheme="minorEastAsia"/>
                <w:color w:val="auto"/>
                <w:szCs w:val="24"/>
              </w:rPr>
            </w:pP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本科：东北林业大学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本科毕业证书、学士学位证书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10" w:lineRule="atLeast"/>
              <w:jc w:val="both"/>
              <w:textAlignment w:val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硕士：东北林业大学硕士研究生毕业证书、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硕士学位证书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（计划内招生）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51" w:type="dxa"/>
            <w:vMerge w:val="continue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10" w:lineRule="atLeast"/>
              <w:jc w:val="center"/>
              <w:textAlignment w:val="auto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</w:p>
        </w:tc>
        <w:tc>
          <w:tcPr>
            <w:tcW w:w="1303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10" w:lineRule="atLeast"/>
              <w:jc w:val="both"/>
              <w:textAlignment w:val="auto"/>
              <w:rPr>
                <w:rFonts w:ascii="Times New Roman" w:hAnsi="Times New Roman" w:cs="Times New Roman" w:eastAsiaTheme="minorEastAsia"/>
                <w:color w:val="auto"/>
                <w:sz w:val="21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外方：</w:t>
            </w:r>
            <w:r>
              <w:rPr>
                <w:rFonts w:ascii="Times New Roman" w:hAnsi="Times New Roman" w:cs="Times New Roman" w:eastAsiaTheme="minorEastAsia"/>
                <w:color w:val="auto"/>
                <w:sz w:val="21"/>
                <w:szCs w:val="24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10" w:lineRule="atLeast"/>
              <w:jc w:val="both"/>
              <w:textAlignment w:val="auto"/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4"/>
                <w:lang w:eastAsia="zh-CN"/>
              </w:rPr>
              <w:t>本科：</w:t>
            </w:r>
            <w:r>
              <w:rPr>
                <w:rFonts w:hint="eastAsia" w:ascii="Times New Roman" w:hAnsi="宋体" w:eastAsia="宋体" w:cs="Times New Roman"/>
                <w:color w:val="auto"/>
                <w:szCs w:val="24"/>
              </w:rPr>
              <w:t>Bachelor of Science理学</w:t>
            </w:r>
            <w:r>
              <w:rPr>
                <w:rFonts w:ascii="Times New Roman" w:hAnsi="Times New Roman" w:eastAsia="宋体" w:cs="Times New Roman"/>
                <w:color w:val="auto"/>
                <w:szCs w:val="24"/>
              </w:rPr>
              <w:t>学士学位证书</w:t>
            </w: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（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完成一个办学周期后，经双方评估合格，颁发外方高校学位证书，不以学生赴外方高校学习为必要条件</w:t>
            </w: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10" w:lineRule="atLeast"/>
              <w:jc w:val="both"/>
              <w:textAlignment w:val="auto"/>
              <w:rPr>
                <w:rFonts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硕士：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Mas</w:t>
            </w: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ter of Science 理学硕士学位证书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10" w:lineRule="atLeast"/>
              <w:jc w:val="center"/>
              <w:textAlignment w:val="auto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审批机关</w:t>
            </w:r>
          </w:p>
        </w:tc>
        <w:tc>
          <w:tcPr>
            <w:tcW w:w="1303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10" w:lineRule="atLeast"/>
              <w:jc w:val="both"/>
              <w:textAlignment w:val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教育部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10" w:lineRule="atLeast"/>
              <w:jc w:val="center"/>
              <w:textAlignment w:val="auto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许可证编号</w:t>
            </w:r>
          </w:p>
        </w:tc>
        <w:tc>
          <w:tcPr>
            <w:tcW w:w="1303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10" w:lineRule="atLeast"/>
              <w:jc w:val="both"/>
              <w:textAlignment w:val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szCs w:val="24"/>
                <w:highlight w:val="none"/>
              </w:rPr>
              <w:t>MOE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szCs w:val="24"/>
                <w:highlight w:val="none"/>
              </w:rPr>
              <w:t>3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szCs w:val="24"/>
                <w:highlight w:val="none"/>
                <w:lang w:val="en-US" w:eastAsia="zh-CN"/>
              </w:rPr>
              <w:t>NZ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szCs w:val="24"/>
                <w:highlight w:val="none"/>
              </w:rPr>
              <w:t>A02DNR201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szCs w:val="24"/>
                <w:highlight w:val="none"/>
                <w:lang w:val="en-US" w:eastAsia="zh-CN"/>
              </w:rPr>
              <w:t>9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szCs w:val="24"/>
                <w:highlight w:val="none"/>
              </w:rPr>
              <w:t>19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szCs w:val="24"/>
                <w:highlight w:val="none"/>
                <w:lang w:val="en-US" w:eastAsia="zh-CN"/>
              </w:rPr>
              <w:t>77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szCs w:val="24"/>
                <w:highlight w:val="none"/>
              </w:rPr>
              <w:t>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10" w:lineRule="atLeast"/>
              <w:jc w:val="center"/>
              <w:textAlignment w:val="auto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许可证有效期</w:t>
            </w:r>
          </w:p>
        </w:tc>
        <w:tc>
          <w:tcPr>
            <w:tcW w:w="1303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10" w:lineRule="atLeast"/>
              <w:jc w:val="both"/>
              <w:textAlignment w:val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Cs w:val="24"/>
              </w:rPr>
              <w:t>20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</w:rPr>
              <w:t>28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年</w:t>
            </w:r>
            <w:r>
              <w:rPr>
                <w:rFonts w:ascii="Times New Roman" w:hAnsi="Times New Roman" w:cs="Times New Roman" w:eastAsiaTheme="minorEastAsia"/>
                <w:color w:val="auto"/>
                <w:szCs w:val="24"/>
              </w:rPr>
              <w:t>12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月</w:t>
            </w:r>
            <w:r>
              <w:rPr>
                <w:rFonts w:ascii="Times New Roman" w:hAnsi="Times New Roman" w:cs="Times New Roman" w:eastAsiaTheme="minorEastAsia"/>
                <w:color w:val="auto"/>
                <w:szCs w:val="24"/>
              </w:rPr>
              <w:t>31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日</w:t>
            </w:r>
          </w:p>
        </w:tc>
      </w:tr>
    </w:tbl>
    <w:p>
      <w:pPr>
        <w:spacing w:line="220" w:lineRule="atLeast"/>
        <w:jc w:val="right"/>
        <w:rPr>
          <w:rFonts w:ascii="Times New Roman" w:hAnsi="Times New Roman" w:cs="Times New Roman" w:eastAsiaTheme="minorEastAsia"/>
          <w:color w:val="auto"/>
          <w:sz w:val="24"/>
          <w:szCs w:val="24"/>
        </w:rPr>
      </w:pPr>
      <w:r>
        <w:rPr>
          <w:rFonts w:ascii="Times New Roman" w:cs="Times New Roman" w:hAnsiTheme="minorEastAsia" w:eastAsiaTheme="minorEastAsia"/>
          <w:color w:val="auto"/>
          <w:sz w:val="24"/>
          <w:szCs w:val="24"/>
        </w:rPr>
        <w:t>制表时间：</w:t>
      </w:r>
      <w:r>
        <w:rPr>
          <w:rFonts w:ascii="Times New Roman" w:hAnsi="Times New Roman" w:cs="Times New Roman" w:eastAsiaTheme="minorEastAsia"/>
          <w:color w:val="auto"/>
          <w:sz w:val="24"/>
          <w:szCs w:val="24"/>
        </w:rPr>
        <w:t>201</w:t>
      </w:r>
      <w:r>
        <w:rPr>
          <w:rFonts w:hint="eastAsia" w:ascii="Times New Roman" w:hAnsi="Times New Roman" w:cs="Times New Roman" w:eastAsiaTheme="minorEastAsia"/>
          <w:color w:val="auto"/>
          <w:sz w:val="24"/>
          <w:szCs w:val="24"/>
        </w:rPr>
        <w:t>9</w:t>
      </w:r>
      <w:r>
        <w:rPr>
          <w:rFonts w:ascii="Times New Roman" w:cs="Times New Roman" w:hAnsiTheme="minorEastAsia" w:eastAsiaTheme="minorEastAsia"/>
          <w:color w:val="auto"/>
          <w:sz w:val="24"/>
          <w:szCs w:val="24"/>
        </w:rPr>
        <w:t>年</w:t>
      </w:r>
      <w:r>
        <w:rPr>
          <w:rFonts w:hint="eastAsia" w:ascii="Times New Roman" w:cs="Times New Roman" w:hAnsiTheme="minorEastAsia" w:eastAsiaTheme="minorEastAsia"/>
          <w:color w:val="auto"/>
          <w:sz w:val="24"/>
          <w:szCs w:val="24"/>
          <w:lang w:val="en-US" w:eastAsia="zh-CN"/>
        </w:rPr>
        <w:t>4</w:t>
      </w:r>
      <w:r>
        <w:rPr>
          <w:rFonts w:ascii="Times New Roman" w:cs="Times New Roman" w:hAnsiTheme="minorEastAsia" w:eastAsiaTheme="minorEastAsia"/>
          <w:color w:val="auto"/>
          <w:sz w:val="24"/>
          <w:szCs w:val="24"/>
        </w:rPr>
        <w:t>月</w:t>
      </w:r>
    </w:p>
    <w:sectPr>
      <w:pgSz w:w="16838" w:h="11906" w:orient="landscape"/>
      <w:pgMar w:top="1220" w:right="1080" w:bottom="556" w:left="108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doNotDisplayPageBoundaries w:val="1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400A4"/>
    <w:rsid w:val="0004707D"/>
    <w:rsid w:val="0005624A"/>
    <w:rsid w:val="00057757"/>
    <w:rsid w:val="000B05A2"/>
    <w:rsid w:val="000C4AD8"/>
    <w:rsid w:val="00105A6E"/>
    <w:rsid w:val="0014516C"/>
    <w:rsid w:val="00174CAF"/>
    <w:rsid w:val="00174EE6"/>
    <w:rsid w:val="001E11BF"/>
    <w:rsid w:val="001F3578"/>
    <w:rsid w:val="00215512"/>
    <w:rsid w:val="00231622"/>
    <w:rsid w:val="002918E3"/>
    <w:rsid w:val="002F3E50"/>
    <w:rsid w:val="00323B43"/>
    <w:rsid w:val="00332F87"/>
    <w:rsid w:val="00387208"/>
    <w:rsid w:val="00394447"/>
    <w:rsid w:val="003D37D8"/>
    <w:rsid w:val="003F7C43"/>
    <w:rsid w:val="00426133"/>
    <w:rsid w:val="004358AB"/>
    <w:rsid w:val="00457461"/>
    <w:rsid w:val="004D2402"/>
    <w:rsid w:val="004F426D"/>
    <w:rsid w:val="005109FF"/>
    <w:rsid w:val="00521641"/>
    <w:rsid w:val="00541623"/>
    <w:rsid w:val="0056175D"/>
    <w:rsid w:val="005C1133"/>
    <w:rsid w:val="005E4C97"/>
    <w:rsid w:val="00661F6C"/>
    <w:rsid w:val="00780785"/>
    <w:rsid w:val="007C79AF"/>
    <w:rsid w:val="00804C8C"/>
    <w:rsid w:val="00822231"/>
    <w:rsid w:val="00837345"/>
    <w:rsid w:val="008B7726"/>
    <w:rsid w:val="008C2469"/>
    <w:rsid w:val="008C34BF"/>
    <w:rsid w:val="008D4CAB"/>
    <w:rsid w:val="00955149"/>
    <w:rsid w:val="00975494"/>
    <w:rsid w:val="00991D67"/>
    <w:rsid w:val="009A315C"/>
    <w:rsid w:val="009C2E3C"/>
    <w:rsid w:val="00A118B9"/>
    <w:rsid w:val="00A67F8F"/>
    <w:rsid w:val="00A95C73"/>
    <w:rsid w:val="00AC3F59"/>
    <w:rsid w:val="00AC432B"/>
    <w:rsid w:val="00AD7FFB"/>
    <w:rsid w:val="00AE7F46"/>
    <w:rsid w:val="00B0010B"/>
    <w:rsid w:val="00B45C69"/>
    <w:rsid w:val="00B5526C"/>
    <w:rsid w:val="00B940BF"/>
    <w:rsid w:val="00BC6DDE"/>
    <w:rsid w:val="00CA422A"/>
    <w:rsid w:val="00CA744A"/>
    <w:rsid w:val="00CB192E"/>
    <w:rsid w:val="00CE195B"/>
    <w:rsid w:val="00CE4C71"/>
    <w:rsid w:val="00CF024B"/>
    <w:rsid w:val="00D3162C"/>
    <w:rsid w:val="00D31D50"/>
    <w:rsid w:val="00DD17C1"/>
    <w:rsid w:val="00E05679"/>
    <w:rsid w:val="00E21F0E"/>
    <w:rsid w:val="00E41713"/>
    <w:rsid w:val="00E944F0"/>
    <w:rsid w:val="00EB450B"/>
    <w:rsid w:val="00F07D3F"/>
    <w:rsid w:val="00F77901"/>
    <w:rsid w:val="00F8010F"/>
    <w:rsid w:val="00F91490"/>
    <w:rsid w:val="00FD5CB2"/>
    <w:rsid w:val="03B56C73"/>
    <w:rsid w:val="063140B0"/>
    <w:rsid w:val="0D1545A6"/>
    <w:rsid w:val="150339C5"/>
    <w:rsid w:val="161C45AA"/>
    <w:rsid w:val="1DD206B7"/>
    <w:rsid w:val="21951EB4"/>
    <w:rsid w:val="27C163D2"/>
    <w:rsid w:val="33304826"/>
    <w:rsid w:val="34DC12FC"/>
    <w:rsid w:val="3ACA7D10"/>
    <w:rsid w:val="3B885680"/>
    <w:rsid w:val="3CC26EB5"/>
    <w:rsid w:val="3DD157B8"/>
    <w:rsid w:val="45B76ED1"/>
    <w:rsid w:val="4998183F"/>
    <w:rsid w:val="56CA292E"/>
    <w:rsid w:val="76B822DD"/>
    <w:rsid w:val="7F011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99"/>
    <w:rPr>
      <w:rFonts w:ascii="Tahoma" w:hAnsi="Tahoma"/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143</Words>
  <Characters>818</Characters>
  <Lines>6</Lines>
  <Paragraphs>1</Paragraphs>
  <TotalTime>0</TotalTime>
  <ScaleCrop>false</ScaleCrop>
  <LinksUpToDate>false</LinksUpToDate>
  <CharactersWithSpaces>960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2019-03-03T23:56:00Z</dcterms:created>
  <dc:creator>Administrator</dc:creator>
  <cp:lastModifiedBy>Sue</cp:lastModifiedBy>
  <cp:lastPrinted>2019-04-01T02:23:00Z</cp:lastPrinted>
  <dcterms:modified xsi:type="dcterms:W3CDTF">2019-04-18T00:07:24Z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